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BAC" w:rsidRPr="004A0D07" w:rsidRDefault="007813F8" w:rsidP="004A0D07">
      <w:pPr>
        <w:jc w:val="both"/>
        <w:rPr>
          <w:rFonts w:ascii="Arial" w:eastAsiaTheme="minorEastAsia" w:hAnsi="Arial" w:cs="Arial"/>
          <w:bCs/>
          <w:kern w:val="24"/>
        </w:rPr>
      </w:pPr>
      <w:r w:rsidRPr="004A0D07">
        <w:rPr>
          <w:rFonts w:ascii="Arial" w:hAnsi="Arial" w:cs="Arial"/>
        </w:rPr>
        <w:t xml:space="preserve">In Public Health chapter of Georgia EU Association Agreement (AA) tobacco control and implementation of the WHO Framework Convention on Tobacco Control has a significant place. Under the EU AA Georgia is obliged to approximate its tobacco control </w:t>
      </w:r>
      <w:proofErr w:type="spellStart"/>
      <w:r w:rsidRPr="004A0D07">
        <w:rPr>
          <w:rFonts w:ascii="Arial" w:hAnsi="Arial" w:cs="Arial"/>
        </w:rPr>
        <w:t>acquis</w:t>
      </w:r>
      <w:proofErr w:type="spellEnd"/>
      <w:r w:rsidRPr="004A0D07">
        <w:rPr>
          <w:rFonts w:ascii="Arial" w:hAnsi="Arial" w:cs="Arial"/>
        </w:rPr>
        <w:t xml:space="preserve"> with the European Co</w:t>
      </w:r>
      <w:r w:rsidR="004A08DC" w:rsidRPr="004A0D07">
        <w:rPr>
          <w:rFonts w:ascii="Arial" w:hAnsi="Arial" w:cs="Arial"/>
        </w:rPr>
        <w:t>m</w:t>
      </w:r>
      <w:r w:rsidRPr="004A0D07">
        <w:rPr>
          <w:rFonts w:ascii="Arial" w:hAnsi="Arial" w:cs="Arial"/>
        </w:rPr>
        <w:t>mission Directives (</w:t>
      </w:r>
      <w:r w:rsidRPr="007813F8">
        <w:rPr>
          <w:rFonts w:ascii="Arial" w:eastAsia="Times New Roman" w:hAnsi="Arial" w:cs="Arial"/>
          <w:bCs/>
          <w:kern w:val="24"/>
        </w:rPr>
        <w:t xml:space="preserve">TAPS DIRECTIVE </w:t>
      </w:r>
      <w:r w:rsidRPr="007813F8">
        <w:rPr>
          <w:rFonts w:ascii="Arial" w:eastAsia="Times New Roman" w:hAnsi="Arial" w:cs="Arial"/>
          <w:bCs/>
          <w:kern w:val="24"/>
          <w:lang w:val="ka-GE"/>
        </w:rPr>
        <w:t>2003/33/EC</w:t>
      </w:r>
      <w:r w:rsidRPr="004A0D07">
        <w:rPr>
          <w:rFonts w:ascii="Arial" w:eastAsia="Times New Roman" w:hAnsi="Arial" w:cs="Arial"/>
          <w:bCs/>
          <w:kern w:val="24"/>
        </w:rPr>
        <w:t xml:space="preserve">, </w:t>
      </w:r>
      <w:r w:rsidR="004A08DC" w:rsidRPr="004A0D07">
        <w:rPr>
          <w:rFonts w:ascii="Arial" w:eastAsia="Times New Roman" w:hAnsi="Arial" w:cs="Arial"/>
          <w:bCs/>
          <w:kern w:val="24"/>
        </w:rPr>
        <w:t>Tobacco Products Directive 2014/40/EC</w:t>
      </w:r>
      <w:r w:rsidRPr="004A0D07">
        <w:rPr>
          <w:rFonts w:ascii="Arial" w:eastAsia="Times New Roman" w:hAnsi="Arial" w:cs="Arial"/>
          <w:bCs/>
          <w:kern w:val="24"/>
        </w:rPr>
        <w:t xml:space="preserve">, </w:t>
      </w:r>
      <w:r w:rsidRPr="007813F8">
        <w:rPr>
          <w:rFonts w:ascii="Arial" w:eastAsiaTheme="minorEastAsia" w:hAnsi="Arial" w:cs="Arial"/>
          <w:bCs/>
          <w:kern w:val="24"/>
        </w:rPr>
        <w:t>EC Recommendation 2003/54/EC</w:t>
      </w:r>
      <w:r w:rsidRPr="004A0D07">
        <w:rPr>
          <w:rFonts w:ascii="Arial" w:eastAsiaTheme="minorEastAsia" w:hAnsi="Arial" w:cs="Arial"/>
          <w:bCs/>
          <w:kern w:val="24"/>
        </w:rPr>
        <w:t xml:space="preserve">, </w:t>
      </w:r>
      <w:r w:rsidRPr="007813F8">
        <w:rPr>
          <w:rFonts w:ascii="Arial" w:eastAsia="Times New Roman" w:hAnsi="Arial" w:cs="Arial"/>
          <w:bCs/>
          <w:kern w:val="24"/>
        </w:rPr>
        <w:t xml:space="preserve">EC Recommendation </w:t>
      </w:r>
      <w:r w:rsidRPr="007813F8">
        <w:rPr>
          <w:rFonts w:ascii="Arial" w:eastAsiaTheme="minorEastAsia" w:hAnsi="Arial" w:cs="Arial"/>
          <w:bCs/>
          <w:kern w:val="24"/>
        </w:rPr>
        <w:t>2009/C 296/02</w:t>
      </w:r>
      <w:r w:rsidRPr="004A0D07">
        <w:rPr>
          <w:rFonts w:ascii="Arial" w:eastAsiaTheme="minorEastAsia" w:hAnsi="Arial" w:cs="Arial"/>
          <w:bCs/>
          <w:kern w:val="24"/>
        </w:rPr>
        <w:t xml:space="preserve">). </w:t>
      </w:r>
    </w:p>
    <w:p w:rsidR="004A08DC" w:rsidRPr="004A0D07" w:rsidRDefault="004A08DC" w:rsidP="004A0D07">
      <w:pPr>
        <w:jc w:val="both"/>
        <w:rPr>
          <w:rFonts w:ascii="Arial" w:eastAsiaTheme="minorEastAsia" w:hAnsi="Arial" w:cs="Arial"/>
          <w:bCs/>
          <w:kern w:val="24"/>
        </w:rPr>
      </w:pPr>
      <w:r w:rsidRPr="004A0D07">
        <w:rPr>
          <w:rFonts w:ascii="Arial" w:eastAsiaTheme="minorEastAsia" w:hAnsi="Arial" w:cs="Arial"/>
          <w:bCs/>
          <w:kern w:val="24"/>
        </w:rPr>
        <w:t>In 2017 the Parliament of Georgia adopted a new tobacco control legislation which is considered as one of the most comprehensives and advanced in the European region as well as in the world. The major changes accord</w:t>
      </w:r>
      <w:r w:rsidR="001B4FB5" w:rsidRPr="004A0D07">
        <w:rPr>
          <w:rFonts w:ascii="Arial" w:eastAsiaTheme="minorEastAsia" w:hAnsi="Arial" w:cs="Arial"/>
          <w:bCs/>
          <w:kern w:val="24"/>
        </w:rPr>
        <w:t xml:space="preserve">ing to new legislation are </w:t>
      </w:r>
      <w:r w:rsidRPr="004A0D07">
        <w:rPr>
          <w:rFonts w:ascii="Arial" w:eastAsiaTheme="minorEastAsia" w:hAnsi="Arial" w:cs="Arial"/>
          <w:bCs/>
          <w:kern w:val="24"/>
        </w:rPr>
        <w:t>full ban of smoking in indoor public places</w:t>
      </w:r>
      <w:r w:rsidR="001B4FB5" w:rsidRPr="004A0D07">
        <w:rPr>
          <w:rFonts w:ascii="Arial" w:eastAsiaTheme="minorEastAsia" w:hAnsi="Arial" w:cs="Arial"/>
          <w:bCs/>
          <w:kern w:val="24"/>
        </w:rPr>
        <w:t xml:space="preserve"> (including e-cigarettes and hookah)</w:t>
      </w:r>
      <w:r w:rsidRPr="004A0D07">
        <w:rPr>
          <w:rFonts w:ascii="Arial" w:eastAsiaTheme="minorEastAsia" w:hAnsi="Arial" w:cs="Arial"/>
          <w:bCs/>
          <w:kern w:val="24"/>
        </w:rPr>
        <w:t xml:space="preserve">, </w:t>
      </w:r>
      <w:r w:rsidR="001B4FB5" w:rsidRPr="004A0D07">
        <w:rPr>
          <w:rFonts w:ascii="Arial" w:eastAsiaTheme="minorEastAsia" w:hAnsi="Arial" w:cs="Arial"/>
          <w:bCs/>
          <w:kern w:val="24"/>
        </w:rPr>
        <w:t>t</w:t>
      </w:r>
      <w:r w:rsidRPr="004A0D07">
        <w:rPr>
          <w:rFonts w:ascii="Arial" w:eastAsiaTheme="minorEastAsia" w:hAnsi="Arial" w:cs="Arial"/>
          <w:bCs/>
          <w:kern w:val="24"/>
        </w:rPr>
        <w:t xml:space="preserve">obacco </w:t>
      </w:r>
      <w:r w:rsidR="001B4FB5" w:rsidRPr="004A0D07">
        <w:rPr>
          <w:rFonts w:ascii="Arial" w:eastAsiaTheme="minorEastAsia" w:hAnsi="Arial" w:cs="Arial"/>
          <w:bCs/>
          <w:kern w:val="24"/>
        </w:rPr>
        <w:t xml:space="preserve">advertisement, promotion and sponsorship (TAPS) full ban, big size health warnings and pictorial health warnings on tobacco packaging, </w:t>
      </w:r>
      <w:r w:rsidR="001B4FB5" w:rsidRPr="004A0D07">
        <w:rPr>
          <w:rFonts w:ascii="Arial" w:hAnsi="Arial" w:cs="Arial"/>
          <w:bCs/>
          <w:kern w:val="24"/>
        </w:rPr>
        <w:t xml:space="preserve">Introducing standardized cigarette packaging (plain packaging)  from 2023, updated model of administration of the law and increased fines on violations, tobacco industry accountability on reporting about ingredients and emissions etc. </w:t>
      </w:r>
      <w:r w:rsidR="001B4FB5" w:rsidRPr="004A0D07">
        <w:rPr>
          <w:rFonts w:ascii="Arial" w:eastAsiaTheme="minorEastAsia" w:hAnsi="Arial" w:cs="Arial"/>
          <w:bCs/>
          <w:kern w:val="24"/>
        </w:rPr>
        <w:t xml:space="preserve">The </w:t>
      </w:r>
      <w:r w:rsidR="00DD642D" w:rsidRPr="004A0D07">
        <w:rPr>
          <w:rFonts w:ascii="Arial" w:eastAsiaTheme="minorEastAsia" w:hAnsi="Arial" w:cs="Arial"/>
          <w:bCs/>
          <w:kern w:val="24"/>
        </w:rPr>
        <w:t>level of law enforcement since its entry into force in impressively</w:t>
      </w:r>
      <w:r w:rsidR="0089564E" w:rsidRPr="004A0D07">
        <w:rPr>
          <w:rFonts w:ascii="Arial" w:eastAsiaTheme="minorEastAsia" w:hAnsi="Arial" w:cs="Arial"/>
          <w:bCs/>
          <w:kern w:val="24"/>
        </w:rPr>
        <w:t xml:space="preserve"> high (varies from 85 to 98%).</w:t>
      </w:r>
    </w:p>
    <w:p w:rsidR="004A0D07" w:rsidRPr="004A0D07" w:rsidRDefault="0089564E" w:rsidP="004A0D07">
      <w:pPr>
        <w:jc w:val="both"/>
        <w:rPr>
          <w:rFonts w:ascii="Arial" w:eastAsiaTheme="minorEastAsia" w:hAnsi="Arial" w:cs="Arial"/>
          <w:bCs/>
          <w:kern w:val="24"/>
        </w:rPr>
      </w:pPr>
      <w:r w:rsidRPr="004A0D07">
        <w:rPr>
          <w:rFonts w:ascii="Arial" w:eastAsiaTheme="minorEastAsia" w:hAnsi="Arial" w:cs="Arial"/>
          <w:bCs/>
          <w:kern w:val="24"/>
        </w:rPr>
        <w:t xml:space="preserve">Georgia has received a recommendation from the EC to Access the </w:t>
      </w:r>
      <w:r w:rsidRPr="004A0D07">
        <w:rPr>
          <w:rFonts w:ascii="Arial" w:hAnsi="Arial" w:cs="Arial"/>
          <w:color w:val="1D2228"/>
        </w:rPr>
        <w:t>Protocol to eliminate il</w:t>
      </w:r>
      <w:r w:rsidRPr="004A0D07">
        <w:rPr>
          <w:rFonts w:ascii="Arial" w:hAnsi="Arial" w:cs="Arial"/>
          <w:color w:val="1D2228"/>
        </w:rPr>
        <w:t xml:space="preserve">licit trade in tobacco products. Ministry of Internally Displaced Persons from the Occupied Territories, </w:t>
      </w:r>
      <w:proofErr w:type="spellStart"/>
      <w:r w:rsidRPr="004A0D07">
        <w:rPr>
          <w:rFonts w:ascii="Arial" w:hAnsi="Arial" w:cs="Arial"/>
          <w:color w:val="1D2228"/>
        </w:rPr>
        <w:t>Labour</w:t>
      </w:r>
      <w:proofErr w:type="spellEnd"/>
      <w:r w:rsidRPr="004A0D07">
        <w:rPr>
          <w:rFonts w:ascii="Arial" w:hAnsi="Arial" w:cs="Arial"/>
          <w:color w:val="1D2228"/>
        </w:rPr>
        <w:t xml:space="preserve">, Health and Social Affairs is committed to reach a whole of Government agreement on the Accession to the Protocol. </w:t>
      </w:r>
      <w:r w:rsidR="004A0D07" w:rsidRPr="004A0D07">
        <w:rPr>
          <w:rFonts w:ascii="Arial" w:eastAsia="Times New Roman" w:hAnsi="Arial" w:cs="Arial"/>
          <w:color w:val="1D2228"/>
        </w:rPr>
        <w:t>Official procedure for the signature and ratification of the P</w:t>
      </w:r>
      <w:r w:rsidR="004A0D07" w:rsidRPr="004A0D07">
        <w:rPr>
          <w:rFonts w:ascii="Arial" w:eastAsia="Times New Roman" w:hAnsi="Arial" w:cs="Arial"/>
          <w:color w:val="1D2228"/>
        </w:rPr>
        <w:t>rotocol was initiated in 2014 and then again in 2016</w:t>
      </w:r>
      <w:r w:rsidRPr="004A0D07">
        <w:rPr>
          <w:rFonts w:ascii="Arial" w:eastAsia="Times New Roman" w:hAnsi="Arial" w:cs="Arial"/>
          <w:color w:val="1D2228"/>
        </w:rPr>
        <w:t xml:space="preserve">. </w:t>
      </w:r>
      <w:r w:rsidR="004A0D07" w:rsidRPr="004A0D07">
        <w:rPr>
          <w:rFonts w:ascii="Arial" w:eastAsia="Times New Roman" w:hAnsi="Arial" w:cs="Arial"/>
          <w:color w:val="1D2228"/>
        </w:rPr>
        <w:t xml:space="preserve">Ministry of Internally Displaces Persons from the Occupied Territories, </w:t>
      </w:r>
      <w:proofErr w:type="spellStart"/>
      <w:r w:rsidR="004A0D07" w:rsidRPr="004A0D07">
        <w:rPr>
          <w:rFonts w:ascii="Arial" w:eastAsia="Times New Roman" w:hAnsi="Arial" w:cs="Arial"/>
          <w:color w:val="1D2228"/>
        </w:rPr>
        <w:t>Labour</w:t>
      </w:r>
      <w:proofErr w:type="spellEnd"/>
      <w:r w:rsidR="004A0D07" w:rsidRPr="004A0D07">
        <w:rPr>
          <w:rFonts w:ascii="Arial" w:eastAsia="Times New Roman" w:hAnsi="Arial" w:cs="Arial"/>
          <w:color w:val="1D2228"/>
        </w:rPr>
        <w:t>, Health and Social Affairs has submitted the Protocol to t</w:t>
      </w:r>
      <w:r w:rsidR="004A0D07" w:rsidRPr="004A0D07">
        <w:rPr>
          <w:rFonts w:ascii="Arial" w:eastAsia="Times New Roman" w:hAnsi="Arial" w:cs="Arial"/>
          <w:color w:val="1D2228"/>
        </w:rPr>
        <w:t>he Ministry of Foreign Affairs</w:t>
      </w:r>
      <w:r w:rsidRPr="004A0D07">
        <w:rPr>
          <w:rFonts w:ascii="Arial" w:eastAsia="Times New Roman" w:hAnsi="Arial" w:cs="Arial"/>
          <w:color w:val="1D2228"/>
        </w:rPr>
        <w:t xml:space="preserve">. </w:t>
      </w:r>
      <w:r w:rsidR="004A0D07" w:rsidRPr="004A0D07">
        <w:rPr>
          <w:rFonts w:ascii="Arial" w:eastAsia="Times New Roman" w:hAnsi="Arial" w:cs="Arial"/>
          <w:color w:val="1D2228"/>
        </w:rPr>
        <w:t xml:space="preserve">In 2019 </w:t>
      </w:r>
      <w:proofErr w:type="spellStart"/>
      <w:r w:rsidR="004A0D07" w:rsidRPr="004A0D07">
        <w:rPr>
          <w:rFonts w:ascii="Arial" w:eastAsia="Times New Roman" w:hAnsi="Arial" w:cs="Arial"/>
          <w:color w:val="1D2228"/>
        </w:rPr>
        <w:t>MoH</w:t>
      </w:r>
      <w:proofErr w:type="spellEnd"/>
      <w:r w:rsidR="004A0D07" w:rsidRPr="004A0D07">
        <w:rPr>
          <w:rFonts w:ascii="Arial" w:eastAsia="Times New Roman" w:hAnsi="Arial" w:cs="Arial"/>
          <w:color w:val="1D2228"/>
        </w:rPr>
        <w:t xml:space="preserve"> re-launched </w:t>
      </w:r>
      <w:r w:rsidR="004A0D07" w:rsidRPr="004A0D07">
        <w:rPr>
          <w:rFonts w:ascii="Arial" w:eastAsia="Times New Roman" w:hAnsi="Arial" w:cs="Arial"/>
          <w:color w:val="1D2228"/>
          <w:lang w:val="ka-GE"/>
        </w:rPr>
        <w:t>process</w:t>
      </w:r>
      <w:r w:rsidR="004A0D07" w:rsidRPr="004A0D07">
        <w:rPr>
          <w:rFonts w:ascii="Arial" w:eastAsia="Times New Roman" w:hAnsi="Arial" w:cs="Arial"/>
          <w:color w:val="1D2228"/>
        </w:rPr>
        <w:t xml:space="preserve"> (preparing the letter for the relevant authorities about the Protocol self-assessment checklist situation in Georgia and potential benefits for the</w:t>
      </w:r>
      <w:r w:rsidRPr="004A0D07">
        <w:rPr>
          <w:rFonts w:ascii="Arial" w:eastAsia="Times New Roman" w:hAnsi="Arial" w:cs="Arial"/>
          <w:color w:val="1D2228"/>
        </w:rPr>
        <w:t xml:space="preserve"> Parties w</w:t>
      </w:r>
      <w:bookmarkStart w:id="0" w:name="_GoBack"/>
      <w:bookmarkEnd w:id="0"/>
      <w:r w:rsidRPr="004A0D07">
        <w:rPr>
          <w:rFonts w:ascii="Arial" w:eastAsia="Times New Roman" w:hAnsi="Arial" w:cs="Arial"/>
          <w:color w:val="1D2228"/>
        </w:rPr>
        <w:t xml:space="preserve">ho join the Protocol). National Center for Disease Control and Public Health has prepared a proposal </w:t>
      </w:r>
      <w:r w:rsidRPr="004A0D07">
        <w:rPr>
          <w:rFonts w:ascii="Arial" w:eastAsiaTheme="minorEastAsia" w:hAnsi="Arial" w:cs="Arial"/>
          <w:bCs/>
          <w:kern w:val="24"/>
        </w:rPr>
        <w:t xml:space="preserve">for </w:t>
      </w:r>
      <w:r w:rsidR="004A0D07" w:rsidRPr="004A0D07">
        <w:rPr>
          <w:rFonts w:ascii="Arial" w:hAnsi="Arial" w:cs="Arial"/>
          <w:color w:val="545454"/>
          <w:shd w:val="clear" w:color="auto" w:fill="FFFFFF"/>
        </w:rPr>
        <w:t>Technical Assistance and Information Exchange instrument of the European Commission</w:t>
      </w:r>
      <w:r w:rsidR="004A0D07" w:rsidRPr="004A0D07">
        <w:rPr>
          <w:rFonts w:ascii="Arial" w:hAnsi="Arial" w:cs="Arial"/>
          <w:color w:val="545454"/>
          <w:shd w:val="clear" w:color="auto" w:fill="FFFFFF"/>
        </w:rPr>
        <w:t xml:space="preserve"> (</w:t>
      </w:r>
      <w:r w:rsidR="004A0D07" w:rsidRPr="004A0D07">
        <w:rPr>
          <w:rFonts w:ascii="Arial" w:eastAsiaTheme="minorEastAsia" w:hAnsi="Arial" w:cs="Arial"/>
          <w:bCs/>
          <w:kern w:val="24"/>
        </w:rPr>
        <w:t xml:space="preserve">TAIEX) to request for technical assistance in conducting a gap analysis  on harmonization of national legislation with the EU directives and to organize a workshop on illicit trade protocol for high level civil servants to further highlight the importance of the subject and create a platform for </w:t>
      </w:r>
      <w:proofErr w:type="spellStart"/>
      <w:r w:rsidR="004A0D07" w:rsidRPr="004A0D07">
        <w:rPr>
          <w:rFonts w:ascii="Arial" w:eastAsiaTheme="minorEastAsia" w:hAnsi="Arial" w:cs="Arial"/>
          <w:bCs/>
          <w:kern w:val="24"/>
        </w:rPr>
        <w:t>multisectoral</w:t>
      </w:r>
      <w:proofErr w:type="spellEnd"/>
      <w:r w:rsidR="004A0D07" w:rsidRPr="004A0D07">
        <w:rPr>
          <w:rFonts w:ascii="Arial" w:eastAsiaTheme="minorEastAsia" w:hAnsi="Arial" w:cs="Arial"/>
          <w:bCs/>
          <w:kern w:val="24"/>
        </w:rPr>
        <w:t xml:space="preserve"> dialogue and consensus on the issue. </w:t>
      </w:r>
    </w:p>
    <w:p w:rsidR="007813F8" w:rsidRPr="004A0D07" w:rsidRDefault="007813F8" w:rsidP="004A0D07">
      <w:pPr>
        <w:jc w:val="both"/>
        <w:rPr>
          <w:rFonts w:ascii="Arial" w:hAnsi="Arial" w:cs="Arial"/>
        </w:rPr>
      </w:pPr>
    </w:p>
    <w:sectPr w:rsidR="007813F8" w:rsidRPr="004A0D07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EE6B84"/>
    <w:multiLevelType w:val="hybridMultilevel"/>
    <w:tmpl w:val="CCCA1496"/>
    <w:lvl w:ilvl="0" w:tplc="0BB466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00A2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1EE0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F06C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462B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CAF9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2CCD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26E7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A8CF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E4538F6"/>
    <w:multiLevelType w:val="hybridMultilevel"/>
    <w:tmpl w:val="E1681814"/>
    <w:lvl w:ilvl="0" w:tplc="3D2C2A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3E4F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1CC0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90F3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800A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3282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8043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A4F5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7A2F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3F8"/>
    <w:rsid w:val="001B4FB5"/>
    <w:rsid w:val="003A47DB"/>
    <w:rsid w:val="004A08DC"/>
    <w:rsid w:val="004A0D07"/>
    <w:rsid w:val="007813F8"/>
    <w:rsid w:val="0089564E"/>
    <w:rsid w:val="00AA0BAC"/>
    <w:rsid w:val="00DD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2C582D-8852-40A6-A175-6B790EFA4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1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A08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4554160328msonormal">
    <w:name w:val="yiv4554160328msonormal"/>
    <w:basedOn w:val="Normal"/>
    <w:rsid w:val="00895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2722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0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951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848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373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0008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Nuka Maglakelidze</dc:creator>
  <cp:keywords/>
  <dc:description/>
  <cp:lastModifiedBy>Nuka Maglakelidze</cp:lastModifiedBy>
  <cp:revision>2</cp:revision>
  <dcterms:created xsi:type="dcterms:W3CDTF">2019-06-14T11:10:00Z</dcterms:created>
  <dcterms:modified xsi:type="dcterms:W3CDTF">2019-06-14T12:15:00Z</dcterms:modified>
</cp:coreProperties>
</file>